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ZV-VgV-2026/44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Neuaufstellung des FNP und des Masterplans sowie zur Erstellung von Umweltprüfung und Umweltbericht für die Stadt Erkelenz</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Die Stadt Erkelenz bereitet nach rund 25 Jahren die vollständige Neuaufstellung des Flächennutzungsplans vor. Die im geltenden FNP von 2001 vorgesehenen Entwicklungsreserven sind weitgehend ausgeschöpft; verbleibende Potenziale stehen nur eingeschränkt zur Verfügung oder sind aufgrund fachlicher Restriktionen nicht entwickelbar. Zudem sind erhebliche Teilräume durch den Braunkohletagebau bergbaulich überprägt oder in Anspruch genommen. Für die künftig nicht mehr vom Tagebau betroffenen Bereiche besteht ein grundlegender Anpassungsbedarf.
Die Neuaufstellung erfolgt vor dem Hintergrund veränderter gesellschaftlicher, wirtschaftlicher und ökologischer Rahmenbedingungen, neuer gesetzlicher Vorgaben sowie der seit Ende 2025 rechtskräftigen Ziele des Regionalplans Köln. Bauleitpläne sind gemäß §?1 Abs.?4 BauGB an die Ziele der Raumordnung anzupassen; der bestehende FNP erfüllt diese Anforderungen nicht mehr.</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